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A3" w:rsidRDefault="006345EE" w:rsidP="00040FA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ORAL OR </w:t>
      </w:r>
      <w:proofErr w:type="gramStart"/>
      <w:r>
        <w:rPr>
          <w:b/>
          <w:sz w:val="28"/>
          <w:szCs w:val="28"/>
          <w:u w:val="single"/>
        </w:rPr>
        <w:t xml:space="preserve">POSPRESENTATION  </w:t>
      </w:r>
      <w:r w:rsidR="00A6094D">
        <w:rPr>
          <w:b/>
          <w:sz w:val="28"/>
          <w:szCs w:val="28"/>
          <w:u w:val="single"/>
        </w:rPr>
        <w:t>(</w:t>
      </w:r>
      <w:proofErr w:type="gramEnd"/>
      <w:r w:rsidR="00A6094D">
        <w:rPr>
          <w:b/>
          <w:sz w:val="28"/>
          <w:szCs w:val="28"/>
          <w:u w:val="single"/>
        </w:rPr>
        <w:t>PAUSA) by EMERITUS PROF  E D  YEBOAH</w:t>
      </w:r>
    </w:p>
    <w:p w:rsidR="00A6094D" w:rsidRDefault="00A6094D" w:rsidP="00040FA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PROSTATE CANCER (PC</w:t>
      </w:r>
      <w:proofErr w:type="gramStart"/>
      <w:r>
        <w:rPr>
          <w:b/>
          <w:sz w:val="28"/>
          <w:szCs w:val="28"/>
          <w:u w:val="single"/>
        </w:rPr>
        <w:t>)-</w:t>
      </w:r>
      <w:proofErr w:type="gramEnd"/>
      <w:r w:rsidR="0080728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MANAGEMENT OF 669</w:t>
      </w:r>
      <w:r w:rsidR="0080728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CASES IN GHANA WEST AFRICA.</w:t>
      </w:r>
    </w:p>
    <w:p w:rsidR="00A6094D" w:rsidRPr="00FE5B3C" w:rsidRDefault="00A6094D" w:rsidP="00040FA4">
      <w:pPr>
        <w:spacing w:line="360" w:lineRule="auto"/>
        <w:rPr>
          <w:sz w:val="28"/>
          <w:szCs w:val="28"/>
        </w:rPr>
      </w:pPr>
      <w:r w:rsidRPr="00FE5B3C">
        <w:rPr>
          <w:sz w:val="28"/>
          <w:szCs w:val="28"/>
        </w:rPr>
        <w:t>AUTHORS.- YEBOAH E D</w:t>
      </w:r>
      <w:r w:rsidRPr="00FE5B3C">
        <w:rPr>
          <w:sz w:val="28"/>
          <w:szCs w:val="28"/>
          <w:vertAlign w:val="superscript"/>
        </w:rPr>
        <w:t>1,3</w:t>
      </w:r>
      <w:r w:rsidRPr="00FE5B3C">
        <w:rPr>
          <w:sz w:val="28"/>
          <w:szCs w:val="28"/>
        </w:rPr>
        <w:t>,HSING AW</w:t>
      </w:r>
      <w:r w:rsidRPr="00FE5B3C">
        <w:rPr>
          <w:sz w:val="28"/>
          <w:szCs w:val="28"/>
          <w:vertAlign w:val="superscript"/>
        </w:rPr>
        <w:t>4</w:t>
      </w:r>
      <w:r w:rsidRPr="00FE5B3C">
        <w:rPr>
          <w:sz w:val="28"/>
          <w:szCs w:val="28"/>
        </w:rPr>
        <w:t>,BIRITWUM RB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,TETTEY Y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,MANTE S</w:t>
      </w:r>
      <w:r w:rsidRPr="00FE5B3C">
        <w:rPr>
          <w:sz w:val="28"/>
          <w:szCs w:val="28"/>
          <w:vertAlign w:val="superscript"/>
        </w:rPr>
        <w:t>2</w:t>
      </w:r>
      <w:r w:rsidRPr="00FE5B3C">
        <w:rPr>
          <w:sz w:val="28"/>
          <w:szCs w:val="28"/>
        </w:rPr>
        <w:t xml:space="preserve">,MENSAH JE 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,KYEI M Y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,YARNEY J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,VANDERPUIJE V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,BEECHEM K</w:t>
      </w:r>
      <w:r w:rsidRPr="00FE5B3C">
        <w:rPr>
          <w:sz w:val="28"/>
          <w:szCs w:val="28"/>
          <w:vertAlign w:val="superscript"/>
        </w:rPr>
        <w:t>1</w:t>
      </w:r>
      <w:r w:rsidRPr="00FE5B3C">
        <w:rPr>
          <w:sz w:val="28"/>
          <w:szCs w:val="28"/>
        </w:rPr>
        <w:t>,</w:t>
      </w:r>
      <w:r w:rsidR="00FE5B3C" w:rsidRPr="00FE5B3C">
        <w:rPr>
          <w:sz w:val="28"/>
          <w:szCs w:val="28"/>
        </w:rPr>
        <w:t>ASANTE K</w:t>
      </w:r>
      <w:r w:rsidR="00FE5B3C" w:rsidRPr="00FE5B3C">
        <w:rPr>
          <w:sz w:val="28"/>
          <w:szCs w:val="28"/>
          <w:vertAlign w:val="superscript"/>
        </w:rPr>
        <w:t>1</w:t>
      </w:r>
      <w:r w:rsidR="00FE5B3C" w:rsidRPr="00FE5B3C">
        <w:rPr>
          <w:sz w:val="28"/>
          <w:szCs w:val="28"/>
        </w:rPr>
        <w:t>,AMPADU K</w:t>
      </w:r>
      <w:r w:rsidR="00FE5B3C" w:rsidRPr="00FE5B3C">
        <w:rPr>
          <w:sz w:val="28"/>
          <w:szCs w:val="28"/>
          <w:vertAlign w:val="superscript"/>
        </w:rPr>
        <w:t>1</w:t>
      </w:r>
      <w:r w:rsidR="00FE5B3C" w:rsidRPr="00FE5B3C">
        <w:rPr>
          <w:sz w:val="28"/>
          <w:szCs w:val="28"/>
        </w:rPr>
        <w:t>,ADUSEI B</w:t>
      </w:r>
      <w:r w:rsidR="00FE5B3C" w:rsidRPr="00FE5B3C">
        <w:rPr>
          <w:sz w:val="28"/>
          <w:szCs w:val="28"/>
          <w:vertAlign w:val="superscript"/>
        </w:rPr>
        <w:t>2</w:t>
      </w:r>
      <w:r w:rsidR="00FE5B3C" w:rsidRPr="00FE5B3C">
        <w:rPr>
          <w:sz w:val="28"/>
          <w:szCs w:val="28"/>
        </w:rPr>
        <w:t>,GEPI ATTEE S</w:t>
      </w:r>
      <w:r w:rsidR="00FE5B3C" w:rsidRPr="00FE5B3C">
        <w:rPr>
          <w:sz w:val="28"/>
          <w:szCs w:val="28"/>
          <w:vertAlign w:val="superscript"/>
        </w:rPr>
        <w:t>1</w:t>
      </w:r>
      <w:r w:rsidR="00FE5B3C" w:rsidRPr="00FE5B3C">
        <w:rPr>
          <w:sz w:val="28"/>
          <w:szCs w:val="28"/>
        </w:rPr>
        <w:t>,KLUFIO G O</w:t>
      </w:r>
      <w:r w:rsidR="00FE5B3C" w:rsidRPr="00FE5B3C">
        <w:rPr>
          <w:sz w:val="28"/>
          <w:szCs w:val="28"/>
          <w:vertAlign w:val="superscript"/>
        </w:rPr>
        <w:t>1</w:t>
      </w:r>
      <w:r w:rsidR="00FE5B3C" w:rsidRPr="00FE5B3C">
        <w:rPr>
          <w:sz w:val="28"/>
          <w:szCs w:val="28"/>
        </w:rPr>
        <w:t>,LAMPTEY E</w:t>
      </w:r>
      <w:r w:rsidR="00FE5B3C" w:rsidRPr="00FE5B3C">
        <w:rPr>
          <w:sz w:val="28"/>
          <w:szCs w:val="28"/>
          <w:vertAlign w:val="superscript"/>
        </w:rPr>
        <w:t>1</w:t>
      </w:r>
      <w:r w:rsidR="00FE5B3C" w:rsidRPr="00FE5B3C">
        <w:rPr>
          <w:sz w:val="28"/>
          <w:szCs w:val="28"/>
        </w:rPr>
        <w:t>,OWOO C</w:t>
      </w:r>
      <w:r w:rsidR="00FE5B3C" w:rsidRPr="00FE5B3C">
        <w:rPr>
          <w:sz w:val="28"/>
          <w:szCs w:val="28"/>
          <w:vertAlign w:val="superscript"/>
        </w:rPr>
        <w:t>1</w:t>
      </w:r>
      <w:r w:rsidR="00FE5B3C" w:rsidRPr="00FE5B3C">
        <w:rPr>
          <w:sz w:val="28"/>
          <w:szCs w:val="28"/>
        </w:rPr>
        <w:t xml:space="preserve">,MARZO A 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 xml:space="preserve">,NETTO G 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,YU K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,LI V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,CHOKKALINGHAM A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,CHIA D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,JADDALAH S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,PARTIN A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,THOMPSON I M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,QUARAISHI S M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,ADDO-AYENSU G4,NIWA S</w:t>
      </w:r>
      <w:r w:rsidR="00FE5B3C" w:rsidRPr="00FE5B3C">
        <w:rPr>
          <w:sz w:val="28"/>
          <w:szCs w:val="28"/>
          <w:vertAlign w:val="superscript"/>
        </w:rPr>
        <w:t>4</w:t>
      </w:r>
      <w:r w:rsidR="00FE5B3C" w:rsidRPr="00FE5B3C">
        <w:rPr>
          <w:sz w:val="28"/>
          <w:szCs w:val="28"/>
        </w:rPr>
        <w:t>,TARONE R,HOOVER R N</w:t>
      </w:r>
      <w:r w:rsidR="00FE5B3C" w:rsidRPr="00FE5B3C">
        <w:rPr>
          <w:sz w:val="28"/>
          <w:szCs w:val="28"/>
          <w:vertAlign w:val="superscript"/>
        </w:rPr>
        <w:t>4</w:t>
      </w:r>
    </w:p>
    <w:p w:rsidR="00FE5B3C" w:rsidRDefault="00FE5B3C" w:rsidP="00040FA4">
      <w:pPr>
        <w:spacing w:line="360" w:lineRule="auto"/>
        <w:rPr>
          <w:sz w:val="28"/>
          <w:szCs w:val="28"/>
        </w:rPr>
      </w:pPr>
      <w:r w:rsidRPr="00FE5B3C">
        <w:rPr>
          <w:sz w:val="28"/>
          <w:szCs w:val="28"/>
        </w:rPr>
        <w:t>From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Department of </w:t>
      </w:r>
      <w:proofErr w:type="spellStart"/>
      <w:r>
        <w:rPr>
          <w:sz w:val="28"/>
          <w:szCs w:val="28"/>
        </w:rPr>
        <w:t>Surgery,Pathology,Radiooncology,University</w:t>
      </w:r>
      <w:proofErr w:type="spellEnd"/>
      <w:r>
        <w:rPr>
          <w:sz w:val="28"/>
          <w:szCs w:val="28"/>
        </w:rPr>
        <w:t xml:space="preserve"> of Ghana Medical School, and Korle-Bu Teaching Hospital,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37 Military Hospital,Accra,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Nyaho Medical Centre,Accra,</w:t>
      </w:r>
      <w:r>
        <w:rPr>
          <w:sz w:val="28"/>
          <w:szCs w:val="28"/>
          <w:vertAlign w:val="superscript"/>
        </w:rPr>
        <w:t>4</w:t>
      </w:r>
      <w:r w:rsidR="00543A82">
        <w:rPr>
          <w:sz w:val="28"/>
          <w:szCs w:val="28"/>
        </w:rPr>
        <w:t>NCI/NIH Bethesda USA,</w:t>
      </w:r>
      <w:r w:rsidR="00543A82">
        <w:rPr>
          <w:sz w:val="28"/>
          <w:szCs w:val="28"/>
          <w:vertAlign w:val="superscript"/>
        </w:rPr>
        <w:t>5</w:t>
      </w:r>
      <w:r w:rsidR="00543A82">
        <w:rPr>
          <w:sz w:val="28"/>
          <w:szCs w:val="28"/>
        </w:rPr>
        <w:t xml:space="preserve">Cancer Protection </w:t>
      </w:r>
      <w:proofErr w:type="spellStart"/>
      <w:r w:rsidR="00543A82">
        <w:rPr>
          <w:sz w:val="28"/>
          <w:szCs w:val="28"/>
        </w:rPr>
        <w:t>Institute,California</w:t>
      </w:r>
      <w:proofErr w:type="spellEnd"/>
      <w:r w:rsidR="00543A82">
        <w:rPr>
          <w:sz w:val="28"/>
          <w:szCs w:val="28"/>
        </w:rPr>
        <w:t>.</w:t>
      </w:r>
    </w:p>
    <w:p w:rsidR="00543A82" w:rsidRDefault="00543A82" w:rsidP="00040FA4">
      <w:pPr>
        <w:spacing w:line="360" w:lineRule="auto"/>
        <w:rPr>
          <w:sz w:val="28"/>
          <w:szCs w:val="28"/>
        </w:rPr>
      </w:pPr>
      <w:proofErr w:type="spellStart"/>
      <w:r w:rsidRPr="00543A82">
        <w:rPr>
          <w:sz w:val="28"/>
          <w:szCs w:val="28"/>
          <w:u w:val="single"/>
        </w:rPr>
        <w:t>OBJECTIVES.</w:t>
      </w:r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Clinical incidence of histologically proven PC, TNM stage and management outcomes</w:t>
      </w:r>
    </w:p>
    <w:p w:rsidR="00543A82" w:rsidRDefault="00543A82" w:rsidP="00040FA4">
      <w:pPr>
        <w:spacing w:line="360" w:lineRule="auto"/>
        <w:rPr>
          <w:sz w:val="28"/>
          <w:szCs w:val="28"/>
        </w:rPr>
      </w:pPr>
      <w:r w:rsidRPr="00543A82">
        <w:rPr>
          <w:sz w:val="28"/>
          <w:szCs w:val="28"/>
          <w:u w:val="single"/>
        </w:rPr>
        <w:t>METHODS</w:t>
      </w:r>
      <w:r>
        <w:rPr>
          <w:sz w:val="28"/>
          <w:szCs w:val="28"/>
          <w:u w:val="single"/>
        </w:rPr>
        <w:t xml:space="preserve"> .</w:t>
      </w:r>
      <w:r w:rsidRPr="00543A82">
        <w:rPr>
          <w:sz w:val="28"/>
          <w:szCs w:val="28"/>
        </w:rPr>
        <w:t xml:space="preserve">Case expansion study of PC managed in </w:t>
      </w:r>
      <w:proofErr w:type="spellStart"/>
      <w:r w:rsidRPr="00543A82">
        <w:rPr>
          <w:sz w:val="28"/>
          <w:szCs w:val="28"/>
        </w:rPr>
        <w:t>Accra</w:t>
      </w:r>
      <w:proofErr w:type="gramStart"/>
      <w:r w:rsidRPr="00543A82">
        <w:rPr>
          <w:sz w:val="28"/>
          <w:szCs w:val="28"/>
        </w:rPr>
        <w:t>,abstracted</w:t>
      </w:r>
      <w:proofErr w:type="spellEnd"/>
      <w:proofErr w:type="gramEnd"/>
      <w:r w:rsidRPr="00543A82">
        <w:rPr>
          <w:sz w:val="28"/>
          <w:szCs w:val="28"/>
        </w:rPr>
        <w:t xml:space="preserve"> records</w:t>
      </w:r>
      <w:r>
        <w:rPr>
          <w:sz w:val="28"/>
          <w:szCs w:val="28"/>
        </w:rPr>
        <w:t xml:space="preserve"> 2004 -2012.</w:t>
      </w:r>
    </w:p>
    <w:p w:rsidR="00543A82" w:rsidRDefault="00543A82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Diagnosis by </w:t>
      </w:r>
      <w:proofErr w:type="spellStart"/>
      <w:r>
        <w:rPr>
          <w:sz w:val="28"/>
          <w:szCs w:val="28"/>
        </w:rPr>
        <w:t>history</w:t>
      </w:r>
      <w:proofErr w:type="gramStart"/>
      <w:r>
        <w:rPr>
          <w:sz w:val="28"/>
          <w:szCs w:val="28"/>
        </w:rPr>
        <w:t>,HoghPSA,physical</w:t>
      </w:r>
      <w:proofErr w:type="spellEnd"/>
      <w:proofErr w:type="gramEnd"/>
      <w:r>
        <w:rPr>
          <w:sz w:val="28"/>
          <w:szCs w:val="28"/>
        </w:rPr>
        <w:t xml:space="preserve"> and abnormal DRE and histologically confirmed by biopsy . With </w:t>
      </w:r>
      <w:proofErr w:type="spellStart"/>
      <w:r>
        <w:rPr>
          <w:sz w:val="28"/>
          <w:szCs w:val="28"/>
        </w:rPr>
        <w:t>gleason</w:t>
      </w:r>
      <w:proofErr w:type="spellEnd"/>
      <w:r>
        <w:rPr>
          <w:sz w:val="28"/>
          <w:szCs w:val="28"/>
        </w:rPr>
        <w:t xml:space="preserve"> scores(GS) and TNM staged and managed by approved </w:t>
      </w:r>
      <w:proofErr w:type="spellStart"/>
      <w:r>
        <w:rPr>
          <w:sz w:val="28"/>
          <w:szCs w:val="28"/>
        </w:rPr>
        <w:t>protocols.Organ</w:t>
      </w:r>
      <w:proofErr w:type="spellEnd"/>
      <w:r>
        <w:rPr>
          <w:sz w:val="28"/>
          <w:szCs w:val="28"/>
        </w:rPr>
        <w:t xml:space="preserve"> confined  PC by radical prostatectomy(RP),brachytherapy(BRCHY),external beam radiotherapy(EBRT),Hormonal/ Chemotherapy, or surveillance if life expectancy less than 15 years.</w:t>
      </w:r>
      <w:r w:rsidR="002D60D5">
        <w:rPr>
          <w:sz w:val="28"/>
          <w:szCs w:val="28"/>
        </w:rPr>
        <w:t xml:space="preserve">T3-4M0 treated by hormonal/chemotherapy+/- Total androgen blockade(TAB),BRCHY/EBRT. Metastatic T1-4-M1 is treated by </w:t>
      </w:r>
      <w:r w:rsidR="002D60D5">
        <w:rPr>
          <w:sz w:val="28"/>
          <w:szCs w:val="28"/>
        </w:rPr>
        <w:lastRenderedPageBreak/>
        <w:t xml:space="preserve">hormonal/chemotherapy +/- </w:t>
      </w:r>
      <w:proofErr w:type="spellStart"/>
      <w:r w:rsidR="002D60D5">
        <w:rPr>
          <w:sz w:val="28"/>
          <w:szCs w:val="28"/>
        </w:rPr>
        <w:t>TAB.Significant</w:t>
      </w:r>
      <w:proofErr w:type="spellEnd"/>
      <w:r w:rsidR="002D60D5">
        <w:rPr>
          <w:sz w:val="28"/>
          <w:szCs w:val="28"/>
        </w:rPr>
        <w:t xml:space="preserve"> LUTO is treated by alpha </w:t>
      </w:r>
      <w:proofErr w:type="spellStart"/>
      <w:r w:rsidR="002D60D5">
        <w:rPr>
          <w:sz w:val="28"/>
          <w:szCs w:val="28"/>
        </w:rPr>
        <w:t>blockers</w:t>
      </w:r>
      <w:proofErr w:type="gramStart"/>
      <w:r w:rsidR="002D60D5">
        <w:rPr>
          <w:sz w:val="28"/>
          <w:szCs w:val="28"/>
        </w:rPr>
        <w:t>,TUIP</w:t>
      </w:r>
      <w:proofErr w:type="spellEnd"/>
      <w:proofErr w:type="gramEnd"/>
      <w:r w:rsidR="002D60D5">
        <w:rPr>
          <w:sz w:val="28"/>
          <w:szCs w:val="28"/>
        </w:rPr>
        <w:t>/TURP.</w:t>
      </w:r>
    </w:p>
    <w:p w:rsidR="002D60D5" w:rsidRDefault="002D60D5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RESULTS.-There were 669 cases median age 70yrs,median GS 7,organ confined PC 415(62%),T3-4 M0 167(25%),METASTATIC CASES 87(13%).The report on 669 cases were followed for 1-7yrs is as follows.</w:t>
      </w:r>
    </w:p>
    <w:p w:rsidR="002D60D5" w:rsidRDefault="002D60D5" w:rsidP="00040FA4">
      <w:pPr>
        <w:spacing w:line="360" w:lineRule="auto"/>
        <w:rPr>
          <w:sz w:val="28"/>
          <w:szCs w:val="28"/>
        </w:rPr>
      </w:pPr>
      <w:r w:rsidRPr="002D60D5">
        <w:rPr>
          <w:sz w:val="28"/>
          <w:szCs w:val="28"/>
          <w:u w:val="single"/>
        </w:rPr>
        <w:t>A.ORGAN CONFINED T1-2 N0 M0 PC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n=415 presentation is asymptomatic .Symptomatic cases 1-20% .treatment regimes</w:t>
      </w:r>
    </w:p>
    <w:p w:rsidR="002D60D5" w:rsidRDefault="002D60D5" w:rsidP="00040FA4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gramEnd"/>
      <w:r w:rsidRPr="002D60D5">
        <w:rPr>
          <w:sz w:val="28"/>
          <w:szCs w:val="28"/>
          <w:u w:val="single"/>
        </w:rPr>
        <w:t>RADICAL PROSTATECTOMY</w:t>
      </w:r>
      <w:r>
        <w:rPr>
          <w:sz w:val="28"/>
          <w:szCs w:val="28"/>
        </w:rPr>
        <w:t xml:space="preserve"> – N=92.Open </w:t>
      </w:r>
      <w:proofErr w:type="spellStart"/>
      <w:r>
        <w:rPr>
          <w:sz w:val="28"/>
          <w:szCs w:val="28"/>
        </w:rPr>
        <w:t>retropubic</w:t>
      </w:r>
      <w:proofErr w:type="spellEnd"/>
      <w:r>
        <w:rPr>
          <w:sz w:val="28"/>
          <w:szCs w:val="28"/>
        </w:rPr>
        <w:t>/prior median PSA 16.1ng/</w:t>
      </w:r>
      <w:proofErr w:type="spellStart"/>
      <w:r>
        <w:rPr>
          <w:sz w:val="28"/>
          <w:szCs w:val="28"/>
        </w:rPr>
        <w:t>ml,post</w:t>
      </w:r>
      <w:proofErr w:type="spellEnd"/>
      <w:r>
        <w:rPr>
          <w:sz w:val="28"/>
          <w:szCs w:val="28"/>
        </w:rPr>
        <w:t xml:space="preserve"> PSA 0.23</w:t>
      </w:r>
      <w:r w:rsidR="00EE5231">
        <w:rPr>
          <w:sz w:val="28"/>
          <w:szCs w:val="28"/>
        </w:rPr>
        <w:t>ng/ml. RP specimen BPH=3,organ confined 76,positive margins 13.Complications rate (COMP)3-22%.</w:t>
      </w:r>
    </w:p>
    <w:p w:rsidR="00EE5231" w:rsidRDefault="00EE5231" w:rsidP="00040FA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ii)</w:t>
      </w:r>
      <w:proofErr w:type="gramEnd"/>
      <w:r>
        <w:rPr>
          <w:sz w:val="28"/>
          <w:szCs w:val="28"/>
          <w:u w:val="single"/>
        </w:rPr>
        <w:t xml:space="preserve">BRACHYTHERAPY  </w:t>
      </w:r>
      <w:r w:rsidRPr="00EE5231">
        <w:rPr>
          <w:sz w:val="28"/>
          <w:szCs w:val="28"/>
        </w:rPr>
        <w:t>n=70</w:t>
      </w:r>
      <w:r>
        <w:rPr>
          <w:sz w:val="28"/>
          <w:szCs w:val="28"/>
        </w:rPr>
        <w:t xml:space="preserve">.145 </w:t>
      </w:r>
      <w:proofErr w:type="spellStart"/>
      <w:r>
        <w:rPr>
          <w:sz w:val="28"/>
          <w:szCs w:val="28"/>
        </w:rPr>
        <w:t>GY,median</w:t>
      </w:r>
      <w:proofErr w:type="spellEnd"/>
      <w:r>
        <w:rPr>
          <w:sz w:val="28"/>
          <w:szCs w:val="28"/>
        </w:rPr>
        <w:t xml:space="preserve"> prior PSA 14.6ng/</w:t>
      </w:r>
      <w:proofErr w:type="spellStart"/>
      <w:r>
        <w:rPr>
          <w:sz w:val="28"/>
          <w:szCs w:val="28"/>
        </w:rPr>
        <w:t>ml,post</w:t>
      </w:r>
      <w:proofErr w:type="spellEnd"/>
      <w:r>
        <w:rPr>
          <w:sz w:val="28"/>
          <w:szCs w:val="28"/>
        </w:rPr>
        <w:t xml:space="preserve"> PSA 0.59ng/</w:t>
      </w:r>
      <w:proofErr w:type="spellStart"/>
      <w:r>
        <w:rPr>
          <w:sz w:val="28"/>
          <w:szCs w:val="28"/>
        </w:rPr>
        <w:t>ml.COMP</w:t>
      </w:r>
      <w:proofErr w:type="spellEnd"/>
      <w:r>
        <w:rPr>
          <w:sz w:val="28"/>
          <w:szCs w:val="28"/>
        </w:rPr>
        <w:t xml:space="preserve"> 3-10%</w:t>
      </w:r>
    </w:p>
    <w:p w:rsidR="00EE5231" w:rsidRDefault="00EE5231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iii) EBRT .</w:t>
      </w:r>
      <w:r>
        <w:rPr>
          <w:sz w:val="28"/>
          <w:szCs w:val="28"/>
        </w:rPr>
        <w:t>no= 155 .70/74GY.Median prior PSA 15.7ng/</w:t>
      </w:r>
      <w:proofErr w:type="spellStart"/>
      <w:r>
        <w:rPr>
          <w:sz w:val="28"/>
          <w:szCs w:val="28"/>
        </w:rPr>
        <w:t>mlpost</w:t>
      </w:r>
      <w:proofErr w:type="spellEnd"/>
      <w:r>
        <w:rPr>
          <w:sz w:val="28"/>
          <w:szCs w:val="28"/>
        </w:rPr>
        <w:t xml:space="preserve"> PSA 0.54ng/</w:t>
      </w:r>
      <w:proofErr w:type="spellStart"/>
      <w:r>
        <w:rPr>
          <w:sz w:val="28"/>
          <w:szCs w:val="28"/>
        </w:rPr>
        <w:t>ml.COMP</w:t>
      </w:r>
      <w:proofErr w:type="spellEnd"/>
      <w:r>
        <w:rPr>
          <w:sz w:val="28"/>
          <w:szCs w:val="28"/>
        </w:rPr>
        <w:t xml:space="preserve"> 2-6%</w:t>
      </w:r>
    </w:p>
    <w:p w:rsidR="00EE5231" w:rsidRDefault="00EE5231" w:rsidP="00040FA4">
      <w:pPr>
        <w:spacing w:line="360" w:lineRule="auto"/>
        <w:rPr>
          <w:sz w:val="28"/>
          <w:szCs w:val="28"/>
        </w:rPr>
      </w:pPr>
      <w:r w:rsidRPr="00EE5231">
        <w:rPr>
          <w:sz w:val="28"/>
          <w:szCs w:val="28"/>
          <w:u w:val="single"/>
        </w:rPr>
        <w:t>iv</w:t>
      </w:r>
      <w:proofErr w:type="gramStart"/>
      <w:r w:rsidRPr="00EE5231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HORMONAL</w:t>
      </w:r>
      <w:proofErr w:type="gramEnd"/>
      <w:r>
        <w:rPr>
          <w:sz w:val="28"/>
          <w:szCs w:val="28"/>
          <w:u w:val="single"/>
        </w:rPr>
        <w:t xml:space="preserve"> CHEMOTHERAPY +TAB.</w:t>
      </w:r>
      <w:r>
        <w:rPr>
          <w:sz w:val="28"/>
          <w:szCs w:val="28"/>
        </w:rPr>
        <w:t xml:space="preserve"> N= 98 prior median PSA 48.5ng/</w:t>
      </w:r>
      <w:proofErr w:type="spellStart"/>
      <w:r>
        <w:rPr>
          <w:sz w:val="28"/>
          <w:szCs w:val="28"/>
        </w:rPr>
        <w:t>ml,post</w:t>
      </w:r>
      <w:proofErr w:type="spellEnd"/>
      <w:r>
        <w:rPr>
          <w:sz w:val="28"/>
          <w:szCs w:val="28"/>
        </w:rPr>
        <w:t xml:space="preserve"> PSA 0.6ng/</w:t>
      </w:r>
      <w:proofErr w:type="spellStart"/>
      <w:r>
        <w:rPr>
          <w:sz w:val="28"/>
          <w:szCs w:val="28"/>
        </w:rPr>
        <w:t>ml.METHODS</w:t>
      </w:r>
      <w:proofErr w:type="spellEnd"/>
      <w:r>
        <w:rPr>
          <w:sz w:val="28"/>
          <w:szCs w:val="28"/>
        </w:rPr>
        <w:t xml:space="preserve"> LHRH analogue /Chemotherapy 41%,stilboesterol 29%,BTO 30%.COMP 4-30%.</w:t>
      </w:r>
    </w:p>
    <w:p w:rsidR="00EE5231" w:rsidRDefault="00EE5231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 Surveillance GS 6.prior PSA&lt;8ng/</w:t>
      </w:r>
      <w:proofErr w:type="spellStart"/>
      <w:r>
        <w:rPr>
          <w:sz w:val="28"/>
          <w:szCs w:val="28"/>
        </w:rPr>
        <w:t>ml.Presentation</w:t>
      </w:r>
      <w:proofErr w:type="spellEnd"/>
      <w:r>
        <w:rPr>
          <w:sz w:val="28"/>
          <w:szCs w:val="28"/>
        </w:rPr>
        <w:t xml:space="preserve"> symptomatic 6</w:t>
      </w:r>
      <w:r w:rsidR="006B54FD">
        <w:rPr>
          <w:sz w:val="28"/>
          <w:szCs w:val="28"/>
        </w:rPr>
        <w:t>0%.</w:t>
      </w:r>
    </w:p>
    <w:p w:rsidR="006B54FD" w:rsidRDefault="006B54FD" w:rsidP="00040FA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All  </w:t>
      </w:r>
      <w:proofErr w:type="spellStart"/>
      <w:r>
        <w:rPr>
          <w:sz w:val="28"/>
          <w:szCs w:val="28"/>
        </w:rPr>
        <w:t>hadneoadjuvant</w:t>
      </w:r>
      <w:proofErr w:type="spellEnd"/>
      <w:proofErr w:type="gramEnd"/>
      <w:r>
        <w:rPr>
          <w:sz w:val="28"/>
          <w:szCs w:val="28"/>
        </w:rPr>
        <w:t xml:space="preserve"> hormonal/chemotherapy +TAB ,LHRH 52%,stilboesterol 12%,BTO36%  then</w:t>
      </w:r>
    </w:p>
    <w:p w:rsidR="006B54FD" w:rsidRDefault="006B54FD" w:rsidP="00040FA4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Pr="006B54FD">
        <w:rPr>
          <w:sz w:val="28"/>
          <w:szCs w:val="28"/>
          <w:u w:val="single"/>
        </w:rPr>
        <w:t>Bachytherapy</w:t>
      </w:r>
      <w:proofErr w:type="gramEnd"/>
      <w:r>
        <w:rPr>
          <w:sz w:val="28"/>
          <w:szCs w:val="28"/>
        </w:rPr>
        <w:t>–T3N3,prior PSA 14.6ng/ml ,post PSA 0.11ng/ml</w:t>
      </w:r>
    </w:p>
    <w:p w:rsidR="006B54FD" w:rsidRDefault="006B54FD" w:rsidP="00040FA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ii)</w:t>
      </w:r>
      <w:proofErr w:type="gramEnd"/>
      <w:r w:rsidRPr="006B54FD">
        <w:rPr>
          <w:sz w:val="28"/>
          <w:szCs w:val="28"/>
          <w:u w:val="single"/>
        </w:rPr>
        <w:t>EBRT</w:t>
      </w:r>
      <w:r>
        <w:rPr>
          <w:sz w:val="28"/>
          <w:szCs w:val="28"/>
        </w:rPr>
        <w:t xml:space="preserve"> .no-64</w:t>
      </w:r>
      <w:r w:rsidR="0012627B" w:rsidRPr="0012627B">
        <w:rPr>
          <w:sz w:val="28"/>
          <w:szCs w:val="28"/>
        </w:rPr>
        <w:t>.Prior PSA T3</w:t>
      </w:r>
      <w:r w:rsidR="0012627B">
        <w:rPr>
          <w:sz w:val="28"/>
          <w:szCs w:val="28"/>
        </w:rPr>
        <w:t xml:space="preserve"> (34%) 32.4ng/ml,T4(2%)64.6ng/</w:t>
      </w:r>
      <w:proofErr w:type="spellStart"/>
      <w:r w:rsidR="0012627B">
        <w:rPr>
          <w:sz w:val="28"/>
          <w:szCs w:val="28"/>
        </w:rPr>
        <w:t>ml,Post</w:t>
      </w:r>
      <w:proofErr w:type="spellEnd"/>
      <w:r w:rsidR="0012627B">
        <w:rPr>
          <w:sz w:val="28"/>
          <w:szCs w:val="28"/>
        </w:rPr>
        <w:t xml:space="preserve"> PSA T3</w:t>
      </w:r>
      <w:r w:rsidR="00C76971">
        <w:rPr>
          <w:sz w:val="28"/>
          <w:szCs w:val="28"/>
        </w:rPr>
        <w:t xml:space="preserve">  0.6ng/ml,T4 0.4ng/</w:t>
      </w:r>
      <w:proofErr w:type="spellStart"/>
      <w:r w:rsidR="00C76971">
        <w:rPr>
          <w:sz w:val="28"/>
          <w:szCs w:val="28"/>
        </w:rPr>
        <w:t>ml,COMP</w:t>
      </w:r>
      <w:proofErr w:type="spellEnd"/>
      <w:r w:rsidR="00C76971">
        <w:rPr>
          <w:sz w:val="28"/>
          <w:szCs w:val="28"/>
        </w:rPr>
        <w:t>=2-70%</w:t>
      </w:r>
    </w:p>
    <w:p w:rsidR="00C76971" w:rsidRDefault="00C76971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iii</w:t>
      </w:r>
      <w:proofErr w:type="gramStart"/>
      <w:r>
        <w:rPr>
          <w:sz w:val="28"/>
          <w:szCs w:val="28"/>
        </w:rPr>
        <w:t>)</w:t>
      </w:r>
      <w:r w:rsidRPr="00C76971">
        <w:rPr>
          <w:sz w:val="28"/>
          <w:szCs w:val="28"/>
          <w:u w:val="single"/>
        </w:rPr>
        <w:t>Hormonal</w:t>
      </w:r>
      <w:proofErr w:type="gramEnd"/>
      <w:r w:rsidRPr="00C76971">
        <w:rPr>
          <w:sz w:val="28"/>
          <w:szCs w:val="28"/>
          <w:u w:val="single"/>
        </w:rPr>
        <w:t xml:space="preserve"> </w:t>
      </w:r>
      <w:proofErr w:type="spellStart"/>
      <w:r w:rsidRPr="00C76971">
        <w:rPr>
          <w:sz w:val="28"/>
          <w:szCs w:val="28"/>
          <w:u w:val="single"/>
        </w:rPr>
        <w:t>chemotherapy</w:t>
      </w:r>
      <w:r w:rsidRPr="00C76971">
        <w:rPr>
          <w:sz w:val="28"/>
          <w:szCs w:val="28"/>
        </w:rPr>
        <w:t>n</w:t>
      </w:r>
      <w:proofErr w:type="spellEnd"/>
      <w:r w:rsidRPr="00C76971">
        <w:rPr>
          <w:sz w:val="28"/>
          <w:szCs w:val="28"/>
        </w:rPr>
        <w:t>=103</w:t>
      </w:r>
      <w:r>
        <w:rPr>
          <w:sz w:val="28"/>
          <w:szCs w:val="28"/>
        </w:rPr>
        <w:t xml:space="preserve"> (T3 24%,T4 38%),LHRH 28%stilboesterol 4%,BTO 30%,COMP 4-35%,Hospitalmortality 26.3%.</w:t>
      </w:r>
    </w:p>
    <w:p w:rsidR="00C76971" w:rsidRDefault="00C76971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</w:t>
      </w:r>
      <w:r w:rsidRPr="00C76971">
        <w:rPr>
          <w:sz w:val="28"/>
          <w:szCs w:val="28"/>
          <w:u w:val="single"/>
        </w:rPr>
        <w:t xml:space="preserve">ADVANCED </w:t>
      </w:r>
      <w:proofErr w:type="gramStart"/>
      <w:r w:rsidRPr="00C76971">
        <w:rPr>
          <w:sz w:val="28"/>
          <w:szCs w:val="28"/>
          <w:u w:val="single"/>
        </w:rPr>
        <w:t>METASTATIC</w:t>
      </w:r>
      <w:r>
        <w:rPr>
          <w:sz w:val="28"/>
          <w:szCs w:val="28"/>
        </w:rPr>
        <w:t xml:space="preserve">  T1</w:t>
      </w:r>
      <w:proofErr w:type="gramEnd"/>
      <w:r>
        <w:rPr>
          <w:sz w:val="28"/>
          <w:szCs w:val="28"/>
        </w:rPr>
        <w:t>-4 N1-3 M1 n=87,13% median prior PSA 93ng/</w:t>
      </w:r>
      <w:proofErr w:type="spellStart"/>
      <w:r>
        <w:rPr>
          <w:sz w:val="28"/>
          <w:szCs w:val="28"/>
        </w:rPr>
        <w:t>ml,post</w:t>
      </w:r>
      <w:proofErr w:type="spellEnd"/>
      <w:r>
        <w:rPr>
          <w:sz w:val="28"/>
          <w:szCs w:val="28"/>
        </w:rPr>
        <w:t xml:space="preserve"> PSA 0.4ng/</w:t>
      </w:r>
      <w:proofErr w:type="spellStart"/>
      <w:r>
        <w:rPr>
          <w:sz w:val="28"/>
          <w:szCs w:val="28"/>
        </w:rPr>
        <w:t>ml.Presentation</w:t>
      </w:r>
      <w:proofErr w:type="spellEnd"/>
      <w:r>
        <w:rPr>
          <w:sz w:val="28"/>
          <w:szCs w:val="28"/>
        </w:rPr>
        <w:t xml:space="preserve"> all symptomatic .RX </w:t>
      </w:r>
      <w:r w:rsidR="0057733D">
        <w:rPr>
          <w:sz w:val="28"/>
          <w:szCs w:val="28"/>
        </w:rPr>
        <w:t>LHRH 23% ,</w:t>
      </w:r>
      <w:proofErr w:type="spellStart"/>
      <w:r w:rsidR="0057733D">
        <w:rPr>
          <w:sz w:val="28"/>
          <w:szCs w:val="28"/>
        </w:rPr>
        <w:t>Stilboesterol</w:t>
      </w:r>
      <w:proofErr w:type="spellEnd"/>
      <w:r w:rsidR="0057733D">
        <w:rPr>
          <w:sz w:val="28"/>
          <w:szCs w:val="28"/>
        </w:rPr>
        <w:t xml:space="preserve"> 17%,BTO 60%,COMP 20-34%,Hospital mortality 37%</w:t>
      </w:r>
    </w:p>
    <w:p w:rsidR="0057733D" w:rsidRDefault="0057733D" w:rsidP="00040FA4">
      <w:pPr>
        <w:spacing w:line="360" w:lineRule="auto"/>
        <w:rPr>
          <w:sz w:val="28"/>
          <w:szCs w:val="28"/>
          <w:u w:val="single"/>
        </w:rPr>
      </w:pPr>
      <w:proofErr w:type="gramStart"/>
      <w:r w:rsidRPr="0057733D">
        <w:rPr>
          <w:sz w:val="28"/>
          <w:szCs w:val="28"/>
          <w:u w:val="single"/>
        </w:rPr>
        <w:t>CONCLUSIONS.</w:t>
      </w:r>
      <w:proofErr w:type="gramEnd"/>
    </w:p>
    <w:p w:rsidR="0057733D" w:rsidRDefault="0057733D" w:rsidP="00040F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Prior to 2000 15.3% organ confined ,T3/T4 32% and metastatic 52%.Improved facilities and skilled teams since 2004 led to organ confined PC 62% curable by </w:t>
      </w:r>
      <w:proofErr w:type="spellStart"/>
      <w:r>
        <w:rPr>
          <w:sz w:val="28"/>
          <w:szCs w:val="28"/>
        </w:rPr>
        <w:t>RP,brachytherapy</w:t>
      </w:r>
      <w:proofErr w:type="spellEnd"/>
      <w:r>
        <w:rPr>
          <w:sz w:val="28"/>
          <w:szCs w:val="28"/>
        </w:rPr>
        <w:t xml:space="preserve"> or EBRT with longer disease free survival but advanced disease pose challenges for disease control.</w:t>
      </w:r>
    </w:p>
    <w:p w:rsidR="00743A26" w:rsidRDefault="00743A26" w:rsidP="00040FA4">
      <w:pPr>
        <w:spacing w:line="360" w:lineRule="auto"/>
        <w:rPr>
          <w:sz w:val="28"/>
          <w:szCs w:val="28"/>
          <w:u w:val="single"/>
        </w:rPr>
      </w:pPr>
      <w:r w:rsidRPr="00743A26">
        <w:rPr>
          <w:sz w:val="28"/>
          <w:szCs w:val="28"/>
          <w:u w:val="single"/>
        </w:rPr>
        <w:t>REFERENCES</w:t>
      </w:r>
    </w:p>
    <w:p w:rsidR="00D70C4B" w:rsidRPr="0020758D" w:rsidRDefault="00D70C4B" w:rsidP="00040F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58D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8C7AF6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D70C4B">
        <w:rPr>
          <w:rFonts w:ascii="Times New Roman" w:hAnsi="Times New Roman" w:cs="Times New Roman"/>
          <w:sz w:val="24"/>
          <w:szCs w:val="24"/>
        </w:rPr>
        <w:t>uenes</w:t>
      </w:r>
      <w:proofErr w:type="spellEnd"/>
      <w:r w:rsidR="00D70C4B">
        <w:rPr>
          <w:rFonts w:ascii="Times New Roman" w:hAnsi="Times New Roman" w:cs="Times New Roman"/>
          <w:sz w:val="24"/>
          <w:szCs w:val="24"/>
        </w:rPr>
        <w:t xml:space="preserve"> Jr. and SM </w:t>
      </w:r>
      <w:proofErr w:type="spellStart"/>
      <w:r w:rsidR="00D70C4B">
        <w:rPr>
          <w:rFonts w:ascii="Times New Roman" w:hAnsi="Times New Roman" w:cs="Times New Roman"/>
          <w:sz w:val="24"/>
          <w:szCs w:val="24"/>
        </w:rPr>
        <w:t>Gueye</w:t>
      </w:r>
      <w:proofErr w:type="spellEnd"/>
      <w:r w:rsidR="00D70C4B">
        <w:rPr>
          <w:rFonts w:ascii="Times New Roman" w:hAnsi="Times New Roman" w:cs="Times New Roman"/>
          <w:sz w:val="24"/>
          <w:szCs w:val="24"/>
        </w:rPr>
        <w:t>, “Teaching radical prostatectomy in sub-Saharan Africa”, The Canadian Journal of Urology, vol. 15, no. 1, pp. 3889, 2008.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8C7AF6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Angwaf</w:t>
      </w:r>
      <w:bookmarkStart w:id="0" w:name="_GoBack"/>
      <w:bookmarkEnd w:id="0"/>
      <w:r w:rsidR="00D70C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70C4B">
        <w:rPr>
          <w:rFonts w:ascii="Times New Roman" w:hAnsi="Times New Roman" w:cs="Times New Roman"/>
          <w:sz w:val="24"/>
          <w:szCs w:val="24"/>
        </w:rPr>
        <w:t xml:space="preserve"> FF., “Migration and prostate cancer; an international perspective” J </w:t>
      </w:r>
      <w:proofErr w:type="spellStart"/>
      <w:r w:rsidR="00D70C4B">
        <w:rPr>
          <w:rFonts w:ascii="Times New Roman" w:hAnsi="Times New Roman" w:cs="Times New Roman"/>
          <w:sz w:val="24"/>
          <w:szCs w:val="24"/>
        </w:rPr>
        <w:t>Narl</w:t>
      </w:r>
      <w:proofErr w:type="spellEnd"/>
      <w:r w:rsidR="00D70C4B">
        <w:rPr>
          <w:rFonts w:ascii="Times New Roman" w:hAnsi="Times New Roman" w:cs="Times New Roman"/>
          <w:sz w:val="24"/>
          <w:szCs w:val="24"/>
        </w:rPr>
        <w:t xml:space="preserve"> Med Assoc 1998; 159 – 64.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BF Morrison, K </w:t>
      </w:r>
      <w:proofErr w:type="spellStart"/>
      <w:r>
        <w:rPr>
          <w:rFonts w:ascii="Times New Roman" w:hAnsi="Times New Roman" w:cs="Times New Roman"/>
          <w:sz w:val="24"/>
          <w:szCs w:val="24"/>
        </w:rPr>
        <w:t>Coard</w:t>
      </w:r>
      <w:proofErr w:type="spellEnd"/>
      <w:r>
        <w:rPr>
          <w:rFonts w:ascii="Times New Roman" w:hAnsi="Times New Roman" w:cs="Times New Roman"/>
          <w:sz w:val="24"/>
          <w:szCs w:val="24"/>
        </w:rPr>
        <w:t>, G Strachan, R Miller, W Aiken and R Mayhew, “Radical prostatectomy outcomes at the university hospital of the West Indies; 2000 – 2007”, West Indian Medical Journal, vol. 60, no. 1, pp. 68 -72.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CF </w:t>
      </w:r>
      <w:proofErr w:type="spellStart"/>
      <w:r>
        <w:rPr>
          <w:rFonts w:ascii="Times New Roman" w:hAnsi="Times New Roman" w:cs="Times New Roman"/>
          <w:sz w:val="24"/>
          <w:szCs w:val="24"/>
        </w:rPr>
        <w:t>Heyns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Fisher,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Merwe</w:t>
      </w:r>
      <w:proofErr w:type="spellEnd"/>
      <w:r>
        <w:rPr>
          <w:rFonts w:ascii="Times New Roman" w:hAnsi="Times New Roman" w:cs="Times New Roman"/>
          <w:sz w:val="24"/>
          <w:szCs w:val="24"/>
        </w:rPr>
        <w:t>, “Prostate cancer among different racial groups in the Western Cape: presenting features and management”, South African Medical journal, vol. 101, no. 4, pp 267 – 270, 2011.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EK </w:t>
      </w:r>
      <w:proofErr w:type="spellStart"/>
      <w:r>
        <w:rPr>
          <w:rFonts w:ascii="Times New Roman" w:hAnsi="Times New Roman" w:cs="Times New Roman"/>
          <w:sz w:val="24"/>
          <w:szCs w:val="24"/>
        </w:rPr>
        <w:t>Wiredu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HB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Armah</w:t>
      </w:r>
      <w:proofErr w:type="spellEnd"/>
      <w:r>
        <w:rPr>
          <w:rFonts w:ascii="Times New Roman" w:hAnsi="Times New Roman" w:cs="Times New Roman"/>
          <w:sz w:val="24"/>
          <w:szCs w:val="24"/>
        </w:rPr>
        <w:t>, “Cancer mortality patterns in Ghana: a 10 year review of autopsies and hospital mortality”, BMC Public Health, vol. 6, article 159, 2006.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Hsing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</w:rPr>
        <w:t>Tetteh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“Prostate cancer screening in Ghana”, Urology, vol. 74, supplement 1, no. 4 pp. S200 – S201; 2009.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Farcas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et al (2000): “Ethnic and racial differences in prostate cancer incidence and mortality”.  </w:t>
      </w:r>
      <w:proofErr w:type="spellStart"/>
      <w:r>
        <w:rPr>
          <w:rFonts w:ascii="Times New Roman" w:hAnsi="Times New Roman" w:cs="Times New Roman"/>
          <w:sz w:val="24"/>
          <w:szCs w:val="24"/>
        </w:rPr>
        <w:t>Ethn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 2000; 10; 69 – 75.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Gronberg</w:t>
      </w:r>
      <w:proofErr w:type="spellEnd"/>
      <w:r>
        <w:rPr>
          <w:rFonts w:ascii="Times New Roman" w:hAnsi="Times New Roman" w:cs="Times New Roman"/>
          <w:sz w:val="24"/>
          <w:szCs w:val="24"/>
        </w:rPr>
        <w:t>, “Prostate cancer epidemiology”, The Lancet, vol. 361, no. 9360, pp. 859 – 864, 2003.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 et al (2000): International trends and patterns of cancer incidence and mortality.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cancer 2000; 85; 60 – 7.</w:t>
      </w:r>
      <w:proofErr w:type="gramEnd"/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AW: “Hormones and prostate cancer; what’s next?”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Epidemio</w:t>
      </w:r>
      <w:proofErr w:type="spellEnd"/>
      <w:r>
        <w:rPr>
          <w:rFonts w:ascii="Times New Roman" w:hAnsi="Times New Roman" w:cs="Times New Roman"/>
          <w:sz w:val="24"/>
          <w:szCs w:val="24"/>
        </w:rPr>
        <w:t>/Rev 2000; 23; 42 – 58.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IJ Powell, “Epidemiology and pathophysiology of prostate cancer in African-American men”. 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Urology, vol. 177, no. 2, pp. 444 -449, 2007.</w:t>
      </w:r>
      <w:proofErr w:type="gramEnd"/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A Eastham, K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Ohori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“Prognostic significance of location of positive margins in radical prostatectomy specimens”, Urology, vol. 70, no. 5, pp. 965 – 969, 2007.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Jamal 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 et al “Global patterns of cancer incidence and mortality rates and trends.  Cancer Epidemiology Biomarkers”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19(8): 1893 – 907.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Jalloh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Friebel</w:t>
      </w:r>
      <w:proofErr w:type="spellEnd"/>
      <w:r>
        <w:rPr>
          <w:rFonts w:ascii="Times New Roman" w:hAnsi="Times New Roman" w:cs="Times New Roman"/>
          <w:sz w:val="24"/>
          <w:szCs w:val="24"/>
        </w:rPr>
        <w:t>, …SD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>, “Evaluation of 4,672 routine prostate biopsies performed in 6 African Countries”, 2013 J Afr. Cancer DO1 10.1007/S12558-013-02464Y.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Kyei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Gepi-Attee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Asante, GO </w:t>
      </w:r>
      <w:proofErr w:type="spellStart"/>
      <w:r>
        <w:rPr>
          <w:rFonts w:ascii="Times New Roman" w:hAnsi="Times New Roman" w:cs="Times New Roman"/>
          <w:sz w:val="24"/>
          <w:szCs w:val="24"/>
        </w:rPr>
        <w:t>Klufio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– “Outcomes after Radical Prostatectomy in Ghanaians.  </w:t>
      </w:r>
      <w:proofErr w:type="gramStart"/>
      <w:r>
        <w:rPr>
          <w:rFonts w:ascii="Times New Roman" w:hAnsi="Times New Roman" w:cs="Times New Roman"/>
          <w:sz w:val="24"/>
          <w:szCs w:val="24"/>
        </w:rPr>
        <w:t>A Surgeon’s Early Experience” ISRN Urology vol. 2013 Article 1D 832496 p1 – 5.</w:t>
      </w:r>
      <w:proofErr w:type="gramEnd"/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Ogunbiyi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OB: “Increased incidence of prostate cancer in Nigerians” J </w:t>
      </w:r>
      <w:proofErr w:type="spellStart"/>
      <w:r>
        <w:rPr>
          <w:rFonts w:ascii="Times New Roman" w:hAnsi="Times New Roman" w:cs="Times New Roman"/>
          <w:sz w:val="24"/>
          <w:szCs w:val="24"/>
        </w:rPr>
        <w:t>Natl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Assoc 1999; 159 – 64.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Osegbe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DN: “Prostate cancer in Nigerians facts and non facts”, J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1997; 157; 1340 – 3.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PC Walsh, “Radical Prostatectomy for localized prostate cancer provides durable cancer control with excellent quality of life: a structured debates”, Journal of Urology, vol. 163, no. 6, pp. 1802 – 1807, 2000.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R Paul, 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B </w:t>
      </w:r>
      <w:proofErr w:type="spellStart"/>
      <w:r>
        <w:rPr>
          <w:rFonts w:ascii="Times New Roman" w:hAnsi="Times New Roman" w:cs="Times New Roman"/>
          <w:sz w:val="24"/>
          <w:szCs w:val="24"/>
        </w:rPr>
        <w:t>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al, “Influence of blood transfusions during radical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retropubic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prostatectomy on disease outcome” Urology vol. 67, no. 1, pp. 137 – 141, 2006.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  SE Shirley, CT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Escofferey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Sargeant</w:t>
      </w:r>
      <w:proofErr w:type="spellEnd"/>
      <w:r>
        <w:rPr>
          <w:rFonts w:ascii="Times New Roman" w:hAnsi="Times New Roman" w:cs="Times New Roman"/>
          <w:sz w:val="24"/>
          <w:szCs w:val="24"/>
        </w:rPr>
        <w:t>, and T Tulloch,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Clinicopathological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features of prostate cancer in Jamaican men, “BJU International, vol. 89, no. 4, pp. 390 – 395, 2002.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SS Chang, DT Duong, N Wells, EE Cole, JA Smith and MS Cookson, “Predicting blood loss and transfusion requirements during radical prostatectomy: the significant negative impact of increasing body mass index”, Journal of Urology, vol. 171, no. 5, pp. 1861 – 1865, 2004.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WJ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FG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Carvalhal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DS Smith, “Potency, continence and complication rates in 1,870 consecutive radical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retropubic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prostatectomies</w:t>
      </w:r>
      <w:proofErr w:type="spellEnd"/>
      <w:r>
        <w:rPr>
          <w:rFonts w:ascii="Times New Roman" w:hAnsi="Times New Roman" w:cs="Times New Roman"/>
          <w:sz w:val="24"/>
          <w:szCs w:val="24"/>
        </w:rPr>
        <w:t>”, Journal of Urology, vol. 162, no. 2, pp. 433 0- 438,1999.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Vanderpuije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-pathologic features and determination of Gleason Score of prostate cancer in Ghanaian men”. </w:t>
      </w:r>
      <w:proofErr w:type="gramStart"/>
      <w:r>
        <w:rPr>
          <w:rFonts w:ascii="Times New Roman" w:hAnsi="Times New Roman" w:cs="Times New Roman"/>
          <w:sz w:val="24"/>
          <w:szCs w:val="24"/>
        </w:rPr>
        <w:t>Urologic Urology XX p 1078.</w:t>
      </w:r>
      <w:proofErr w:type="gramEnd"/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Vanderpuije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-pathologic features and determination of Gleason Score of prostate cancer in Ghanaian men”. </w:t>
      </w:r>
      <w:proofErr w:type="gramStart"/>
      <w:r>
        <w:rPr>
          <w:rFonts w:ascii="Times New Roman" w:hAnsi="Times New Roman" w:cs="Times New Roman"/>
          <w:sz w:val="24"/>
          <w:szCs w:val="24"/>
        </w:rPr>
        <w:t>Urologic Oncologic” 31 (3) 325 -30.</w:t>
      </w:r>
      <w:proofErr w:type="gramEnd"/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ED, et al (2002)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Ketoconazole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bisphosphates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advanced hormonal refractory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cancer in Ghanaians”, - BJU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Supplement 2 pg 304.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Klufio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IK, et al (2000): “Correlation of efficacy of digitally guided TRUCUT,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transrectal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biopsy of prostate (DGTPBX) and ultrasound guided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transrectal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biopsy of the prostate (TRUSBX) in the diagnosis of cancer of prostate”, BJU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86 Supplement 3 Nov. 2000 p10.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Rebbeck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DevesaSS</w:t>
      </w:r>
      <w:proofErr w:type="spellEnd"/>
      <w:r>
        <w:rPr>
          <w:rFonts w:ascii="Times New Roman" w:hAnsi="Times New Roman" w:cs="Times New Roman"/>
          <w:sz w:val="24"/>
          <w:szCs w:val="24"/>
        </w:rPr>
        <w:t>, 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Yeboah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et al (2013): “Global Patterns of Prostate cancer incidence, Aggressiveness and Mortality in Men of African Descent”, Prostate Cancer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Article ID560857 P1 – 12.</w:t>
      </w: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C4B" w:rsidRPr="00C20882" w:rsidRDefault="00D70C4B" w:rsidP="00040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B3C" w:rsidRDefault="00FE5B3C" w:rsidP="00040FA4">
      <w:pPr>
        <w:spacing w:line="360" w:lineRule="auto"/>
        <w:rPr>
          <w:b/>
          <w:sz w:val="28"/>
          <w:szCs w:val="28"/>
          <w:u w:val="single"/>
        </w:rPr>
      </w:pPr>
    </w:p>
    <w:p w:rsidR="00FE5B3C" w:rsidRDefault="00FE5B3C" w:rsidP="00040FA4">
      <w:pPr>
        <w:spacing w:line="360" w:lineRule="auto"/>
        <w:rPr>
          <w:b/>
          <w:sz w:val="28"/>
          <w:szCs w:val="28"/>
          <w:u w:val="single"/>
        </w:rPr>
      </w:pPr>
    </w:p>
    <w:p w:rsidR="00FE5B3C" w:rsidRDefault="00FE5B3C" w:rsidP="00040FA4">
      <w:pPr>
        <w:spacing w:line="360" w:lineRule="auto"/>
        <w:rPr>
          <w:b/>
          <w:sz w:val="28"/>
          <w:szCs w:val="28"/>
          <w:u w:val="single"/>
        </w:rPr>
      </w:pPr>
    </w:p>
    <w:p w:rsidR="00FE5B3C" w:rsidRDefault="00FE5B3C" w:rsidP="00040FA4">
      <w:pPr>
        <w:spacing w:line="360" w:lineRule="auto"/>
        <w:rPr>
          <w:b/>
          <w:sz w:val="28"/>
          <w:szCs w:val="28"/>
          <w:u w:val="single"/>
        </w:rPr>
      </w:pPr>
    </w:p>
    <w:p w:rsidR="00FE5B3C" w:rsidRPr="00FE5B3C" w:rsidRDefault="00FE5B3C" w:rsidP="00040FA4">
      <w:pPr>
        <w:spacing w:line="360" w:lineRule="auto"/>
        <w:rPr>
          <w:b/>
          <w:sz w:val="28"/>
          <w:szCs w:val="28"/>
          <w:u w:val="single"/>
        </w:rPr>
      </w:pPr>
    </w:p>
    <w:sectPr w:rsidR="00FE5B3C" w:rsidRPr="00FE5B3C" w:rsidSect="00210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345EE"/>
    <w:rsid w:val="00040FA4"/>
    <w:rsid w:val="0012627B"/>
    <w:rsid w:val="002102A9"/>
    <w:rsid w:val="002D60D5"/>
    <w:rsid w:val="00543A82"/>
    <w:rsid w:val="0057733D"/>
    <w:rsid w:val="006345EE"/>
    <w:rsid w:val="006A4514"/>
    <w:rsid w:val="006B54FD"/>
    <w:rsid w:val="00743A26"/>
    <w:rsid w:val="00807289"/>
    <w:rsid w:val="00892F56"/>
    <w:rsid w:val="008C7AF6"/>
    <w:rsid w:val="00A6094D"/>
    <w:rsid w:val="00C76971"/>
    <w:rsid w:val="00D70C4B"/>
    <w:rsid w:val="00EE5231"/>
    <w:rsid w:val="00F76E46"/>
    <w:rsid w:val="00FE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Olapade Olaopa .E</cp:lastModifiedBy>
  <cp:revision>11</cp:revision>
  <cp:lastPrinted>2013-10-22T15:43:00Z</cp:lastPrinted>
  <dcterms:created xsi:type="dcterms:W3CDTF">2013-07-15T12:33:00Z</dcterms:created>
  <dcterms:modified xsi:type="dcterms:W3CDTF">2013-10-22T23:09:00Z</dcterms:modified>
</cp:coreProperties>
</file>